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7658F2" w:rsidP="00CB5102">
            <w:pPr>
              <w:pStyle w:val="TableParagraph"/>
              <w:tabs>
                <w:tab w:val="left" w:pos="733"/>
              </w:tabs>
              <w:spacing w:before="13"/>
              <w:ind w:left="29"/>
              <w:rPr>
                <w:b/>
                <w:sz w:val="15"/>
                <w:szCs w:val="15"/>
                <w:lang w:val="el-GR"/>
              </w:rPr>
            </w:pPr>
            <w:r>
              <w:rPr>
                <w:b/>
                <w:sz w:val="15"/>
                <w:szCs w:val="15"/>
                <w:lang w:val="el-GR"/>
              </w:rPr>
              <w:t>ΕΑΤΑ4</w:t>
            </w:r>
            <w:bookmarkStart w:id="0" w:name="_GoBack"/>
            <w:bookmarkEnd w:id="0"/>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Default="00237819" w:rsidP="00CB5102">
            <w:pPr>
              <w:pStyle w:val="TableParagraph"/>
              <w:tabs>
                <w:tab w:val="left" w:pos="5614"/>
              </w:tabs>
              <w:spacing w:before="26" w:line="266" w:lineRule="auto"/>
              <w:ind w:left="74" w:right="797"/>
              <w:rPr>
                <w:b/>
                <w:w w:val="105"/>
                <w:sz w:val="15"/>
                <w:szCs w:val="15"/>
                <w:highlight w:val="yellow"/>
                <w:lang w:val="el-GR"/>
              </w:rPr>
            </w:pPr>
          </w:p>
          <w:p w:rsidR="00E37B4D" w:rsidRPr="00E37B4D" w:rsidRDefault="00E37B4D" w:rsidP="00E37B4D">
            <w:pPr>
              <w:pStyle w:val="TableParagraph"/>
              <w:tabs>
                <w:tab w:val="left" w:pos="5614"/>
              </w:tabs>
              <w:spacing w:before="26" w:line="266" w:lineRule="auto"/>
              <w:ind w:right="797"/>
              <w:rPr>
                <w:b/>
                <w:w w:val="105"/>
                <w:sz w:val="15"/>
                <w:szCs w:val="15"/>
              </w:rPr>
            </w:pPr>
            <w:r w:rsidRPr="00E37B4D">
              <w:rPr>
                <w:b/>
                <w:w w:val="105"/>
                <w:sz w:val="15"/>
                <w:szCs w:val="15"/>
              </w:rPr>
              <w:t xml:space="preserve">6.5.ΕΑΤΑ.4,  </w:t>
            </w:r>
            <w:proofErr w:type="spellStart"/>
            <w:r w:rsidRPr="00E37B4D">
              <w:rPr>
                <w:b/>
                <w:w w:val="105"/>
                <w:sz w:val="15"/>
                <w:szCs w:val="15"/>
              </w:rPr>
              <w:t>Αν</w:t>
            </w:r>
            <w:proofErr w:type="spellEnd"/>
            <w:r w:rsidRPr="00E37B4D">
              <w:rPr>
                <w:b/>
                <w:w w:val="105"/>
                <w:sz w:val="15"/>
                <w:szCs w:val="15"/>
              </w:rPr>
              <w:t>αβάθμιση υπ</w:t>
            </w:r>
            <w:proofErr w:type="spellStart"/>
            <w:r w:rsidRPr="00E37B4D">
              <w:rPr>
                <w:b/>
                <w:w w:val="105"/>
                <w:sz w:val="15"/>
                <w:szCs w:val="15"/>
              </w:rPr>
              <w:t>οδομών</w:t>
            </w:r>
            <w:proofErr w:type="spellEnd"/>
            <w:r w:rsidRPr="00E37B4D">
              <w:rPr>
                <w:b/>
                <w:w w:val="105"/>
                <w:sz w:val="15"/>
                <w:szCs w:val="15"/>
              </w:rPr>
              <w:t xml:space="preserve"> </w:t>
            </w:r>
            <w:proofErr w:type="spellStart"/>
            <w:r w:rsidRPr="00E37B4D">
              <w:rPr>
                <w:b/>
                <w:w w:val="105"/>
                <w:sz w:val="15"/>
                <w:szCs w:val="15"/>
              </w:rPr>
              <w:t>Εθνικού</w:t>
            </w:r>
            <w:proofErr w:type="spellEnd"/>
            <w:r w:rsidRPr="00E37B4D">
              <w:rPr>
                <w:b/>
                <w:w w:val="105"/>
                <w:sz w:val="15"/>
                <w:szCs w:val="15"/>
              </w:rPr>
              <w:t xml:space="preserve"> </w:t>
            </w:r>
            <w:proofErr w:type="spellStart"/>
            <w:r w:rsidRPr="00E37B4D">
              <w:rPr>
                <w:b/>
                <w:w w:val="105"/>
                <w:sz w:val="15"/>
                <w:szCs w:val="15"/>
              </w:rPr>
              <w:t>Κή</w:t>
            </w:r>
            <w:proofErr w:type="spellEnd"/>
            <w:r w:rsidRPr="00E37B4D">
              <w:rPr>
                <w:b/>
                <w:w w:val="105"/>
                <w:sz w:val="15"/>
                <w:szCs w:val="15"/>
              </w:rPr>
              <w:t xml:space="preserve">που </w:t>
            </w:r>
          </w:p>
          <w:p w:rsidR="00237819" w:rsidRPr="00237819" w:rsidRDefault="00237819" w:rsidP="00BC4B41">
            <w:pPr>
              <w:pStyle w:val="TableParagraph"/>
              <w:tabs>
                <w:tab w:val="left" w:pos="5614"/>
              </w:tabs>
              <w:spacing w:before="26" w:line="266" w:lineRule="auto"/>
              <w:ind w:right="797"/>
              <w:rPr>
                <w:b/>
                <w:w w:val="105"/>
                <w:sz w:val="15"/>
                <w:szCs w:val="15"/>
                <w:lang w:val="el-GR"/>
              </w:rPr>
            </w:pP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Περίοδος υλοποίησης της προτεινόμενης πράξης εντός περιόδου επιλεξιμότητας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Εξετάζεται εάν η περίοδος υλοποίησης της προτεινόμενης πράξης εμπίπτει εντός της περιόδου επιλεξιμότητας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4F519E"/>
    <w:rsid w:val="00557386"/>
    <w:rsid w:val="005F1826"/>
    <w:rsid w:val="006261E7"/>
    <w:rsid w:val="00736521"/>
    <w:rsid w:val="007431D8"/>
    <w:rsid w:val="007658F2"/>
    <w:rsid w:val="007D2DA3"/>
    <w:rsid w:val="00BC4B41"/>
    <w:rsid w:val="00E37B4D"/>
    <w:rsid w:val="00F25233"/>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4906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Juri Nikolaidou</cp:lastModifiedBy>
  <cp:revision>4</cp:revision>
  <dcterms:created xsi:type="dcterms:W3CDTF">2018-02-13T09:04:00Z</dcterms:created>
  <dcterms:modified xsi:type="dcterms:W3CDTF">2018-06-04T10:38:00Z</dcterms:modified>
</cp:coreProperties>
</file>